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db25c15bb5124c7e"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50145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NARODNA KNJIŽNICA STON</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21</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IX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37.833,58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65.200,53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32.158,18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57.786,90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5.675,40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7.413,63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130,6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5.146,33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5.448,99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5.146,33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5.448,99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105,9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529,07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1.964,64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371,3</w:t>
            </w:r>
          </w:p>
        </w:tc>
      </w:tr>
    </w:tbl>
    <w:p>
      <w:pPr>
        <w:spacing w:before="0" w:after="0"/>
      </w:pPr>
    </w:p>
    <w:p>
      <w:pPr>
        <w:jc w:val="both"/>
        <w:pStyle w:val="Normal"/>
        <w:spacing w:line="240" w:lineRule="auto"/>
      </w:pPr>
      <w:r>
        <w:rPr>
          <w:sz w:val="24"/>
          <w:rFonts w:ascii="Times New Roman" w:hAnsi="Times New Roman"/>
        </w:rPr>
        <w:t>Ukupni prihodi Narodne knjižnice Ston ostvareni u razdoblju od 1. siječnja od 30. rujna 2025. godine iznosili su 65.200,53 €, odnosno 72,3% ili 27.366,95 € više nego prethodne 2024. godine. Na rast prihoda poslovanja u promatranom razdoblju najvećim je dijelom utjecalo povećanje prihoda iz nadležnog proračuna za financiranje redovne djelatnosti, a zatim djelomično pomoći iz državnog i županijskog proračuna te prihodi od pruženih usluga. Ukupni rashodi su iznosili 63.235,89 € što je za 69,5% ili 25.931,38 € više rashoda nego prošle godine. Rashodi poslovanja su rasli, a na to su utjecali povećanje rashoda za plaće zaposlenika, zatim u manjoj mjeri ostalih rashoda za zaposlene, doprinosa na plaće, rashoda za naknade troškova zaposlenima, rashoda za usluge te ostalih nespomenutih rashoda poslovanja i ostalih financijskih rashoda, dok su se rashodi za nabavu nefinancijske imovine uvećali za 5,9%, odnosno 302,66 € zbog uvećanih rashoda za knjižnu građu, što dovodi do uvećanja ukupnih rashoda u promatranom razdoblju. Ostvaren je višak prihoda u iznosu od 1.964,64 €. Manjak prihoda iz prethodnog razdoblja iznosi 5.481,27 €, tako da se u sljedeće razdoblje prenosi manjak u iznosu od 3.516,63 €.</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37.833,58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65.200,53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172,3</w:t>
            </w:r>
          </w:p>
        </w:tc>
      </w:tr>
    </w:tbl>
    <w:p>
      <w:pPr>
        <w:spacing w:before="0" w:after="0"/>
      </w:pPr>
    </w:p>
    <w:p>
      <w:pPr>
        <w:jc w:val="both"/>
        <w:pStyle w:val="Normal"/>
        <w:spacing w:line="240" w:lineRule="auto"/>
      </w:pPr>
      <w:r>
        <w:rPr>
          <w:sz w:val="24"/>
          <w:rFonts w:ascii="Times New Roman" w:hAnsi="Times New Roman"/>
        </w:rPr>
        <w:t>Prihodi poslovanja Narodne knjižnice Ston ostvareni u razdoblju od 1. siječnja od 30. rujna 2025. godine iznosili su 65.200,53 €, odnosno 72,3% ili 27.366,95 € više nego prethodne 2024. godine. Na rast prihoda poslovanja u promatranom razdoblju najvećim je dijelom utjecalo povećanje prihoda iz nadležnog proračuna za financiranje redovne djelatnosti, a zatim i pomoći iz državnog i županijskog proračuna te prihodi od pruženih usluga.</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proračunu i izvanproračunskim korisnicima iz drugih proračuna (šifre 6331+6332)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5.844,00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106,4</w:t>
            </w:r>
          </w:p>
        </w:tc>
      </w:tr>
    </w:tbl>
    <w:p>
      <w:pPr>
        <w:spacing w:before="0" w:after="0"/>
      </w:pPr>
    </w:p>
    <w:p>
      <w:pPr>
        <w:jc w:val="both"/>
        <w:pStyle w:val="Normal"/>
        <w:spacing w:line="240" w:lineRule="auto"/>
      </w:pPr>
      <w:r>
        <w:rPr>
          <w:sz w:val="24"/>
          <w:rFonts w:ascii="Times New Roman" w:hAnsi="Times New Roman"/>
        </w:rPr>
        <w:t>Prihodi od pomoći u razdoblju od 1. siječnja do 30. rujna 2025. godine ostvareni su u iznosu od 6.220,00 €, odnosno 6,4% ili 376,00 € više u odnosu na prihode od pomoći ostvarene u istom razdoblju 2024. godine. Na rast prihoda od pomoći u promatranom razdoblju najvećim je dijelom utjecalo uvećanje prihoda od kapitalnih pomoći iz državnog proračuna koji je ostvaren za 6,7%, odnosno 320,00 € više u odnosu na ostvarenje u istom razdoblju 2024. godine, dok su tekuće pomoći iz županijskog proračuna ostvarene u iznosu od 400,00 € te tekuće pomoći iz državnog proračuna u iznosu od 720,00 €.</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financijske imovine (šifre 6412 do 6419)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133,3</w:t>
            </w:r>
          </w:p>
        </w:tc>
      </w:tr>
    </w:tbl>
    <w:p>
      <w:pPr>
        <w:spacing w:before="0" w:after="0"/>
      </w:pPr>
    </w:p>
    <w:p>
      <w:pPr>
        <w:jc w:val="both"/>
        <w:pStyle w:val="Normal"/>
        <w:spacing w:line="240" w:lineRule="auto"/>
      </w:pPr>
      <w:r>
        <w:rPr>
          <w:sz w:val="24"/>
          <w:rFonts w:ascii="Times New Roman" w:hAnsi="Times New Roman"/>
        </w:rPr>
        <w:t>Prihodi od financijske imovine u razdoblju od 1. siječnja do 30. rujna 2025. godine ostvareni su u iznosu od 0,04 €, odnosno 33,3% više u odnosu na prihode ostvarene u istom razdoblju 2024. godine. Na rast prihoda od financijske imovine u promatranom razdoblju je utjecalo uvećanje prihoda od kamate na oročena sredstva i depozite po viđenju.</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(šifre 6614+6615)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742,1</w:t>
            </w:r>
          </w:p>
        </w:tc>
      </w:tr>
    </w:tbl>
    <w:p>
      <w:pPr>
        <w:spacing w:before="0" w:after="0"/>
      </w:pPr>
    </w:p>
    <w:p>
      <w:pPr>
        <w:jc w:val="both"/>
        <w:pStyle w:val="Normal"/>
        <w:spacing w:line="240" w:lineRule="auto"/>
      </w:pPr>
      <w:r>
        <w:rPr>
          <w:sz w:val="24"/>
          <w:rFonts w:ascii="Times New Roman" w:hAnsi="Times New Roman"/>
        </w:rPr>
        <w:t>Prihodi od prodaje proizvoda i robe te pruženih usluga u razdoblju od 1. siječnja do 30. rujna 2025. godine ostvareni su u iznosu od 866,88 €, odnosno 642,1% više u odnosu na iste prihode ostvarene u promatranom razdoblju 2024. godine. Na rast prihoda od prodaje proizvoda i robe te pruženih usluga utjecalo je uvećanje prihoda od pruženih usluga koje nisu zabilježene prethodne 2024. godine.</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redovne djelatnosti proračunskih korisnika (šifre 6711 do 6714)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31.214,32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58.113,61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186,2</w:t>
            </w:r>
          </w:p>
        </w:tc>
      </w:tr>
    </w:tbl>
    <w:p>
      <w:pPr>
        <w:spacing w:before="0" w:after="0"/>
      </w:pPr>
    </w:p>
    <w:p>
      <w:pPr>
        <w:jc w:val="both"/>
        <w:pStyle w:val="Normal"/>
        <w:spacing w:line="240" w:lineRule="auto"/>
      </w:pPr>
      <w:r>
        <w:rPr>
          <w:sz w:val="24"/>
          <w:rFonts w:ascii="Times New Roman" w:hAnsi="Times New Roman"/>
        </w:rPr>
        <w:t>Prihodi iz nadležnog proračuna za financiranje redovne djelatnosti proračunskih korisnika u razdoblju od 1. siječnja do 30. rujna 2025. godine ostvareni su u iznosu od 58.113,61 €, odnosno 86,2% više u odnosu na iste prihode ostvarene u promatranom razdoblju 2024. godine. Na rast prihoda iz nadležnog proračuna za financiranje redovne djelatnosti proračunskih korisnika najviše je utjecalo uvećanje prihoda iz nadležnog proračuna, odnosno Općine Ston, za financiranje rashoda poslovanja (plaće i doprinosi za zaposlenike, ostali troškovi za redovno poslovanje) koji su ostvareni za 95,8%, odnosno 27.413,4 € više u odnosu na ostvarenje u istom razdoblju 2024. godine, dok su prihodi iz nadležnog proračuna za financiranje rashoda za nabavu nefinancijske imovine ostvareni za 19,8% ili 514,11 € manje nego 2024. godine.</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32.158,18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57.786,90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179,7</w:t>
            </w:r>
          </w:p>
        </w:tc>
      </w:tr>
    </w:tbl>
    <w:p>
      <w:pPr>
        <w:spacing w:before="0" w:after="0"/>
      </w:pPr>
    </w:p>
    <w:p>
      <w:pPr>
        <w:jc w:val="both"/>
        <w:pStyle w:val="Normal"/>
        <w:spacing w:line="240" w:lineRule="auto"/>
      </w:pPr>
      <w:r>
        <w:rPr>
          <w:sz w:val="24"/>
          <w:rFonts w:ascii="Times New Roman" w:hAnsi="Times New Roman"/>
        </w:rPr>
        <w:t>Rashodi poslovanja Narodne knjižnice Ston ostvareni u razdoblju od 1. siječnja od 30. rujna 2025. godine ostvareni su u iznosu od 57.786,90 €, odnosno 79,7% ili 25.628,72 € više nego prethodne 2024. godine. Na rast rashoda poslovanja je najviše utjecalo povećanje rashoda za plaće zaposlenika, zatim u manjoj mjeri ostalih rashoda za zaposlene, doprinosa na plaće, rashoda za naknade troškova zaposlenima,  rashoda za usluge te ostalih nespomenutih rashoda poslovanja i ostalih financijskih rashoda.</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22.964,77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38.124,71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166,0</w:t>
            </w:r>
          </w:p>
        </w:tc>
      </w:tr>
    </w:tbl>
    <w:p>
      <w:pPr>
        <w:spacing w:before="0" w:after="0"/>
      </w:pPr>
    </w:p>
    <w:p>
      <w:pPr>
        <w:jc w:val="both"/>
        <w:pStyle w:val="Normal"/>
        <w:spacing w:line="240" w:lineRule="auto"/>
      </w:pPr>
      <w:r>
        <w:rPr>
          <w:sz w:val="24"/>
          <w:rFonts w:ascii="Times New Roman" w:hAnsi="Times New Roman"/>
        </w:rPr>
        <w:t>Rashodi za plaće zaposlenika u razdoblju od 1. siječnja do 30. rujna 2025. godine ostvareni su u iznosu od 38.124,71 €, odnosno 66,0% ili 15.159,94 € više u odnosu na rashode za plaće ostvarene u istom razdoblju 2024. godine. Na rast u promatranom razdoblju najvećim je dijelom utjecalo uvećanje rashoda za plaće za redovan rad, odnosno povećanje osnovice za izračun plaće i zaposlenja djelatnika.</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142,9</w:t>
            </w:r>
          </w:p>
        </w:tc>
      </w:tr>
    </w:tbl>
    <w:p>
      <w:pPr>
        <w:spacing w:before="0" w:after="0"/>
      </w:pPr>
    </w:p>
    <w:p>
      <w:pPr>
        <w:jc w:val="both"/>
        <w:pStyle w:val="Normal"/>
        <w:spacing w:line="240" w:lineRule="auto"/>
      </w:pPr>
      <w:r>
        <w:rPr>
          <w:sz w:val="24"/>
          <w:rFonts w:ascii="Times New Roman" w:hAnsi="Times New Roman"/>
        </w:rPr>
        <w:t>Ostali rashodi za zaposlene u razdoblju od 1. siječnja do 30. rujna 2025. godine ostvareni su u iznosu od 2.000,00 €, odnosno 42,9% ili 600,00 € više u odnosu na ostale rashode za zaposlene ostvarene u istom razdoblju 2024. godine. Na rast u promatranom razdoblju najvećim je dijelom utjecalo uvećanje nenavedenih rashoda za zaposlene, odnosno darova.</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2.722,41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3.601,49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132,3</w:t>
            </w:r>
          </w:p>
        </w:tc>
      </w:tr>
    </w:tbl>
    <w:p>
      <w:pPr>
        <w:spacing w:before="0" w:after="0"/>
      </w:pPr>
    </w:p>
    <w:p>
      <w:pPr>
        <w:jc w:val="both"/>
        <w:pStyle w:val="Normal"/>
        <w:spacing w:line="240" w:lineRule="auto"/>
      </w:pPr>
      <w:r>
        <w:rPr>
          <w:sz w:val="24"/>
          <w:rFonts w:ascii="Times New Roman" w:hAnsi="Times New Roman"/>
        </w:rPr>
        <w:t>Rashodi za doprinose na plaće u razdoblju od 1. siječnja do 30. rujna 2025. godine ostvareni su u iznosu od 3.601,49 €, odnosno 32,3% ili 879,08 € više u odnosu na rashode za plaće ostvarene u istom razdoblju 2024. godine. Na rast u promatranom razdoblju najvećim je dijelom utjecalo uvećanje doprinosa za obvezno zdravstveno osiguranje.</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101,5</w:t>
            </w:r>
          </w:p>
        </w:tc>
      </w:tr>
    </w:tbl>
    <w:p>
      <w:pPr>
        <w:spacing w:before="0" w:after="0"/>
      </w:pPr>
    </w:p>
    <w:p>
      <w:pPr>
        <w:jc w:val="both"/>
        <w:pStyle w:val="Normal"/>
        <w:spacing w:line="240" w:lineRule="auto"/>
      </w:pPr>
      <w:r>
        <w:rPr>
          <w:sz w:val="24"/>
          <w:rFonts w:ascii="Times New Roman" w:hAnsi="Times New Roman"/>
        </w:rPr>
        <w:t>Rashodi za naknade troškova zaposlenima u razdoblju od 1. siječnja do 30. rujna 2025. godine ostvareni su u iznosu od 55,00 €, odnosno 1,5% ili 0,80 € više u odnosu na iste ostvarene u istom razdoblju 2024. godine. Na rast rashoda za naknadu troškova zaposlenima u promatranom razdoblju je utjecalo uvećanje rashoda za službena putovanja.</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697,19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56,4</w:t>
            </w:r>
          </w:p>
        </w:tc>
      </w:tr>
    </w:tbl>
    <w:p>
      <w:pPr>
        <w:spacing w:before="0" w:after="0"/>
      </w:pPr>
    </w:p>
    <w:p>
      <w:pPr>
        <w:jc w:val="both"/>
        <w:pStyle w:val="Normal"/>
        <w:spacing w:line="240" w:lineRule="auto"/>
      </w:pPr>
      <w:r>
        <w:rPr>
          <w:sz w:val="24"/>
          <w:rFonts w:ascii="Times New Roman" w:hAnsi="Times New Roman"/>
        </w:rPr>
        <w:t>Rashodi za materijal i energiju u razdoblju od 1. siječnja do 30. rujna 2025. godine ostvareni su u iznosu od 697,19 €, odnosno 43,6% manje u odnosu na iste rashode ostvarene u promatranom razdoblju 2024. godine. Na pad rashoda za materijal i energiju utjecalo je izostanak rashoda za energiju koji su evidentirani u prethodnoj godini, a u promatranom razdoblju tekuće godine nisu.  Rashodi za uredski materijal i ostali materijalni rashodi su ostvareni za 50% , odnosno 212,64 € više u odnosu na ostvarenje u istom razdoblju 2024. godine, kao i rashodi za sitni inventar i autogume koji su ostvareni u iznosu od 59,36 €, dok nisu bili zabilježeni u promatranom razdoblju prošle godine.</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3.379,03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12.813,27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379,2</w:t>
            </w:r>
          </w:p>
        </w:tc>
      </w:tr>
    </w:tbl>
    <w:p>
      <w:pPr>
        <w:spacing w:before="0" w:after="0"/>
      </w:pPr>
    </w:p>
    <w:p>
      <w:pPr>
        <w:jc w:val="both"/>
        <w:pStyle w:val="Normal"/>
        <w:spacing w:line="240" w:lineRule="auto"/>
      </w:pPr>
      <w:r>
        <w:rPr>
          <w:sz w:val="24"/>
          <w:rFonts w:ascii="Times New Roman" w:hAnsi="Times New Roman"/>
        </w:rPr>
        <w:t>Rashodi za usluge u razdoblju od 1. siječnja do 30. rujna 2025. godine ostvareni su u iznosu od 12.813,27 €, odnosno 279,2% više u odnosu na iste rashode ostvarene u promatranom razdoblju 2024. godine. Na rast rashoda za usluge utjecalo je povećanje rashoda za intelektualne i osobne usluge koji su ostvareni se 363,1 % ili 9.309,62 € više nego prethodne godine u promatranom razdoblju,, zatim rast rashoda za računalne usluge koji su ostvareni za 20,5 % ili 46,02 € više nego prethodne godine te pojava rashoda za usluge tekućeg i investicijskog održavanja u iznosu od 175,25 € koji nisu zabilježeni 2024. godine. Rashodi za usluge telefona, interneta, pošte i prijevoza te rashodi za usluge promidžbe i informiranja ostvareni su u manjem iznosu nego 2024. godine u promatranom razdoblju</w:t>
      </w:r>
    </w:p>
    <w:p/>
    <w:p>
      <w:pPr>
        <w:jc w:val="center"/>
        <w:pStyle w:val="Normal"/>
        <w:spacing w:line="240" w:lineRule="auto"/>
        <w:keepNext/>
      </w:pPr>
      <w:r>
        <w:rPr>
          <w:sz w:val="28"/>
          <w:rFonts w:ascii="Times New Roman" w:hAnsi="Times New Roman"/>
        </w:rPr>
        <w:t>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101,6</w:t>
            </w:r>
          </w:p>
        </w:tc>
      </w:tr>
    </w:tbl>
    <w:p>
      <w:pPr>
        <w:spacing w:before="0" w:after="0"/>
      </w:pPr>
    </w:p>
    <w:p>
      <w:pPr>
        <w:jc w:val="both"/>
        <w:pStyle w:val="Normal"/>
        <w:spacing w:line="240" w:lineRule="auto"/>
      </w:pPr>
      <w:r>
        <w:rPr>
          <w:sz w:val="24"/>
          <w:rFonts w:ascii="Times New Roman" w:hAnsi="Times New Roman"/>
        </w:rPr>
        <w:t>Ostali nespomenuti rashodi poslovanja u razdoblju od 1. siječnja do 30. rujna 2025. godine ostvareni su u iznosu od 117,13 €, odnosno 1,6% više u odnosu na iste rashode ostvarene u promatranom razdoblju 2024. godine. Na rast tih rashoda je utjecalo uvećanje rashoda za reprezentaciju</w:t>
      </w:r>
    </w:p>
    <w:p/>
    <w:p>
      <w:pPr>
        <w:jc w:val="center"/>
        <w:pStyle w:val="Normal"/>
        <w:spacing w:line="240" w:lineRule="auto"/>
        <w:keepNext/>
      </w:pPr>
      <w:r>
        <w:rPr>
          <w:sz w:val="28"/>
          <w:rFonts w:ascii="Times New Roman" w:hAnsi="Times New Roman"/>
        </w:rPr>
        <w:t>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financijski rashodi (šifre 3431 do 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131,6</w:t>
            </w:r>
          </w:p>
        </w:tc>
      </w:tr>
    </w:tbl>
    <w:p>
      <w:pPr>
        <w:spacing w:before="0" w:after="0"/>
      </w:pPr>
    </w:p>
    <w:p>
      <w:pPr>
        <w:jc w:val="both"/>
        <w:pStyle w:val="Normal"/>
        <w:spacing w:line="240" w:lineRule="auto"/>
      </w:pPr>
      <w:r>
        <w:rPr>
          <w:sz w:val="24"/>
          <w:rFonts w:ascii="Times New Roman" w:hAnsi="Times New Roman"/>
        </w:rPr>
        <w:t>Ostali financijski rashodi u razdoblju od 1. siječnja do 30. rujna 2025. godine ostvareni su u iznosu od 378,11 €, odnosno 31,6% više u odnosu na iste rashode ostvarene u promatranom razdoblju 2024. godine. Na rast tih rashoda najviše  je utjecalo uvećanje rashoda za bankarske usluge i usluge platnog prometa.</w:t>
      </w:r>
    </w:p>
    <w:p/>
    <w:p>
      <w:pPr>
        <w:jc w:val="center"/>
        <w:pStyle w:val="Normal"/>
        <w:spacing w:line="240" w:lineRule="auto"/>
        <w:keepNext/>
      </w:pPr>
      <w:r>
        <w:rPr>
          <w:sz w:val="28"/>
          <w:rFonts w:ascii="Times New Roman" w:hAnsi="Times New Roman"/>
        </w:rPr>
        <w:t>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5.146,33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5.448,99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w:t>
            </w:r>
          </w:p>
        </w:tc>
      </w:tr>
    </w:tbl>
    <w:p>
      <w:pPr>
        <w:spacing w:before="0" w:after="0"/>
      </w:pPr>
    </w:p>
    <w:p>
      <w:pPr>
        <w:jc w:val="both"/>
        <w:pStyle w:val="Normal"/>
        <w:spacing w:line="240" w:lineRule="auto"/>
      </w:pPr>
      <w:r>
        <w:rPr>
          <w:sz w:val="24"/>
          <w:rFonts w:ascii="Times New Roman" w:hAnsi="Times New Roman"/>
        </w:rPr>
        <w:t>Rashodi za nabavu nefinancijske imovine u razdoblju od 1. siječnja do 30. rujna 2025. godine ostvareni su u iznosu od 5.448,99 €, odnosno 5,9% ili 302,66  € više u odnosu na iste rashode ostvarene u promatranom razdoblju 2024. godine. Odnose se na rashode na nabavu proizvedene dugotrajne imovine.</w:t>
      </w:r>
    </w:p>
    <w:p/>
    <w:p>
      <w:pPr>
        <w:jc w:val="center"/>
        <w:pStyle w:val="Normal"/>
        <w:spacing w:line="240" w:lineRule="auto"/>
        <w:keepNext/>
      </w:pPr>
      <w:r>
        <w:rPr>
          <w:sz w:val="28"/>
          <w:rFonts w:ascii="Times New Roman" w:hAnsi="Times New Roman"/>
        </w:rPr>
        <w:t>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4241 do 4244)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5.146,33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5.448,99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105,9</w:t>
            </w:r>
          </w:p>
        </w:tc>
      </w:tr>
    </w:tbl>
    <w:p>
      <w:pPr>
        <w:spacing w:before="0" w:after="0"/>
      </w:pPr>
    </w:p>
    <w:p>
      <w:pPr>
        <w:jc w:val="both"/>
        <w:pStyle w:val="Normal"/>
        <w:spacing w:line="240" w:lineRule="auto"/>
      </w:pPr>
      <w:r>
        <w:rPr>
          <w:sz w:val="24"/>
          <w:rFonts w:ascii="Times New Roman" w:hAnsi="Times New Roman"/>
        </w:rPr>
        <w:t>Rashodi za knjige od 1. siječnja do 30. rujna 2025. godine ostvareni su u iznosu od 5.448,99 €, odnosno 5,9% ili 302,66 € više u odnosu na iste rashode ostvarene u promatranom razdoblju 2024. godine. Odnose se na rashode na nabavu knjižne građe.</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7c969e6aedb54def" /></Relationships>
</file>